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trike/>
        </w:rPr>
      </w:pPr>
      <w:r>
        <w:rPr>
          <w:strike/>
        </w:rPr>
      </w:r>
    </w:p>
    <w:p>
      <w:pPr>
        <w:pStyle w:val="Normal"/>
        <w:keepNext w:val="true"/>
        <w:keepLines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выполнение работ</w:t>
      </w:r>
    </w:p>
    <w:p>
      <w:pPr>
        <w:pStyle w:val="Normal"/>
        <w:keepNext w:val="true"/>
        <w:keepLines/>
        <w:ind w:firstLine="851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ОКПД 2: </w:t>
      </w:r>
      <w:r>
        <w:rPr>
          <w:rStyle w:val="Strong"/>
          <w:rFonts w:eastAsia="Calibri"/>
          <w:b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33.20.42.000</w:t>
      </w:r>
      <w:r>
        <w:rPr>
          <w:rFonts w:eastAsia="Calibri"/>
          <w:sz w:val="24"/>
          <w:szCs w:val="24"/>
        </w:rPr>
        <w:t xml:space="preserve"> Выполнение работ по монтажу охранного телевидения на объектах филиала</w:t>
      </w:r>
      <w:r>
        <w:rPr>
          <w:sz w:val="24"/>
          <w:szCs w:val="24"/>
        </w:rPr>
        <w:t xml:space="preserve"> ПАО «РусГидро» - «Каскад Кубанских ГЭС» для нужд Кубанского филиала АО «Гидроремонт-ВКК»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Лот № 0009-ТПиР БЕЗОП ДОХ-2026-ГРВКК-КубФ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</w:r>
      <w:r>
        <w:br w:type="page"/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ind w:right="-57" w:hanging="0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bookmarkStart w:id="0" w:name="_Toc51339692_Копия_1"/>
      <w:bookmarkStart w:id="1" w:name="_Toc124516412_Копия_1"/>
      <w:r>
        <w:rPr>
          <w:b/>
          <w:sz w:val="24"/>
          <w:szCs w:val="24"/>
        </w:rPr>
        <w:t>Общие сведения …………………………………………………………………………………</w:t>
      </w:r>
      <w:bookmarkEnd w:id="0"/>
      <w:bookmarkEnd w:id="1"/>
      <w:r>
        <w:rPr>
          <w:b/>
          <w:sz w:val="24"/>
          <w:szCs w:val="24"/>
        </w:rPr>
        <w:t>...3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r>
            <w:fldChar w:fldCharType="begin"/>
          </w:r>
          <w:r>
            <w:rPr>
              <w:rStyle w:val="Style15"/>
              <w:sz w:val="24"/>
              <w:szCs w:val="24"/>
            </w:rPr>
            <w:instrText xml:space="preserve"> TOC \o "1-4" \h</w:instrText>
          </w:r>
          <w:r>
            <w:rPr>
              <w:rStyle w:val="Style15"/>
              <w:sz w:val="24"/>
              <w:szCs w:val="24"/>
            </w:rPr>
            <w:fldChar w:fldCharType="separate"/>
          </w:r>
          <w:hyperlink w:anchor="__RefHeading___Toc2067_1456059687">
            <w:r>
              <w:rPr>
                <w:rStyle w:val="Style15"/>
                <w:sz w:val="24"/>
                <w:szCs w:val="24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69_1456059687">
            <w:r>
              <w:rPr>
                <w:rStyle w:val="Style15"/>
                <w:sz w:val="24"/>
                <w:szCs w:val="24"/>
              </w:rPr>
              <w:t>1.2. Наименование закупаемой продукции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1_1456059687">
            <w:r>
              <w:rPr>
                <w:rStyle w:val="Style15"/>
                <w:sz w:val="24"/>
                <w:szCs w:val="24"/>
              </w:rPr>
              <w:t>1.3. Цель выполнение работ</w:t>
              <w:tab/>
              <w:t>3</w:t>
            </w:r>
          </w:hyperlink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3_1456059687">
            <w:r>
              <w:rPr>
                <w:rStyle w:val="Style15"/>
                <w:sz w:val="24"/>
                <w:szCs w:val="24"/>
              </w:rPr>
              <w:t>1.4. Существующее положение</w:t>
              <w:tab/>
              <w:t>3</w:t>
            </w:r>
          </w:hyperlink>
        </w:p>
        <w:p>
          <w:pPr>
            <w:pStyle w:val="Normal"/>
            <w:tabs>
              <w:tab w:val="clear" w:pos="708"/>
              <w:tab w:val="right" w:pos="9825" w:leader="dot"/>
            </w:tabs>
            <w:rPr>
              <w:rFonts w:ascii="Times New Roman" w:hAnsi="Times New Roman"/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Таблица 1. Перечень объектов заказчика</w:t>
          </w:r>
          <w:r>
            <w:rPr>
              <w:sz w:val="24"/>
              <w:szCs w:val="24"/>
            </w:rPr>
            <w:tab/>
            <w:t>3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75_1456059687">
            <w:r>
              <w:rPr>
                <w:rStyle w:val="Style15"/>
                <w:sz w:val="24"/>
                <w:szCs w:val="24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  <w:tab/>
            </w:r>
          </w:hyperlink>
          <w:r>
            <w:rPr>
              <w:sz w:val="24"/>
              <w:szCs w:val="24"/>
            </w:rPr>
            <w:t>5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77_1456059687">
            <w:r>
              <w:rPr>
                <w:rStyle w:val="Style15"/>
                <w:sz w:val="24"/>
                <w:szCs w:val="24"/>
              </w:rPr>
              <w:t>2. Требования к продукции</w:t>
              <w:tab/>
            </w:r>
          </w:hyperlink>
          <w:r>
            <w:rPr>
              <w:sz w:val="24"/>
              <w:szCs w:val="24"/>
            </w:rPr>
            <w:t>5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1_1456059687">
            <w:r>
              <w:rPr>
                <w:rStyle w:val="Style15"/>
                <w:sz w:val="24"/>
                <w:szCs w:val="24"/>
              </w:rPr>
              <w:t>2.1. Требования к объемам и срокам выполнения работ</w:t>
              <w:tab/>
            </w:r>
          </w:hyperlink>
          <w:r>
            <w:rPr>
              <w:sz w:val="24"/>
              <w:szCs w:val="24"/>
            </w:rPr>
            <w:t>5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3_1456059687">
            <w:r>
              <w:rPr>
                <w:rStyle w:val="Style15"/>
                <w:sz w:val="24"/>
                <w:szCs w:val="24"/>
              </w:rPr>
              <w:t>2.1.1. Требования к видам и объемам работ</w:t>
              <w:tab/>
            </w:r>
          </w:hyperlink>
          <w:r>
            <w:rPr>
              <w:sz w:val="24"/>
              <w:szCs w:val="24"/>
            </w:rPr>
            <w:t>5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5_1456059687">
            <w:r>
              <w:rPr>
                <w:rStyle w:val="Style15"/>
                <w:sz w:val="24"/>
                <w:szCs w:val="24"/>
              </w:rPr>
              <w:t>Таблица 2. Перечень и объем выполняемых работ</w:t>
              <w:tab/>
            </w:r>
          </w:hyperlink>
          <w:r>
            <w:rPr>
              <w:sz w:val="24"/>
              <w:szCs w:val="24"/>
            </w:rPr>
            <w:t>5</w:t>
          </w:r>
        </w:p>
        <w:p>
          <w:pPr>
            <w:pStyle w:val="TOC3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87_1456059687">
            <w:r>
              <w:rPr>
                <w:rStyle w:val="Style15"/>
                <w:sz w:val="24"/>
                <w:szCs w:val="24"/>
              </w:rPr>
              <w:t>2.1.2. Требования к срокам выполнения работ</w:t>
              <w:tab/>
            </w:r>
          </w:hyperlink>
          <w:r>
            <w:rPr>
              <w:sz w:val="24"/>
              <w:szCs w:val="24"/>
            </w:rPr>
            <w:t>7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89_1456059687">
            <w:r>
              <w:rPr>
                <w:rStyle w:val="Style15"/>
                <w:sz w:val="24"/>
                <w:szCs w:val="24"/>
              </w:rPr>
              <w:t>Таблица 3. Требования по срокам выполнения работ</w:t>
              <w:tab/>
            </w:r>
          </w:hyperlink>
          <w:r>
            <w:rPr>
              <w:sz w:val="24"/>
              <w:szCs w:val="24"/>
            </w:rPr>
            <w:t>7</w:t>
          </w:r>
        </w:p>
        <w:p>
          <w:pPr>
            <w:pStyle w:val="TOC4"/>
            <w:tabs>
              <w:tab w:val="clear" w:pos="567"/>
              <w:tab w:val="clear" w:pos="9911"/>
              <w:tab w:val="right" w:pos="9825" w:leader="dot"/>
            </w:tabs>
            <w:rPr/>
          </w:pPr>
          <w:hyperlink w:anchor="__RefHeading___Toc2091_1456059687">
            <w:r>
              <w:rPr>
                <w:rStyle w:val="Style15"/>
                <w:sz w:val="24"/>
                <w:szCs w:val="24"/>
              </w:rPr>
              <w:t>2.2. Требования к качеству работ</w:t>
              <w:tab/>
            </w:r>
          </w:hyperlink>
          <w:r>
            <w:rPr>
              <w:sz w:val="24"/>
              <w:szCs w:val="24"/>
            </w:rPr>
            <w:t>8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3_1456059687">
            <w:r>
              <w:rPr>
                <w:rStyle w:val="Style15"/>
                <w:sz w:val="24"/>
                <w:szCs w:val="24"/>
              </w:rPr>
              <w:t>Таблица 4. Требования к качеству работ</w:t>
              <w:tab/>
            </w:r>
          </w:hyperlink>
          <w:r>
            <w:rPr>
              <w:sz w:val="24"/>
              <w:szCs w:val="24"/>
            </w:rPr>
            <w:t>8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5_1456059687">
            <w:r>
              <w:rPr>
                <w:rStyle w:val="Style15"/>
                <w:sz w:val="24"/>
                <w:szCs w:val="24"/>
              </w:rPr>
              <w:t>3. Требования к документации по ценообразованию на этапе закупки</w:t>
              <w:tab/>
              <w:t>1</w:t>
            </w:r>
          </w:hyperlink>
          <w:r>
            <w:rPr>
              <w:sz w:val="24"/>
              <w:szCs w:val="24"/>
            </w:rPr>
            <w:t>7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7_1456059687">
            <w:r>
              <w:rPr>
                <w:rStyle w:val="Style15"/>
                <w:sz w:val="24"/>
                <w:szCs w:val="24"/>
              </w:rPr>
              <w:t>4. Требования к документации по ценообразованию на этапе заключения (исполнения) договора</w:t>
              <w:tab/>
              <w:t>1</w:t>
            </w:r>
          </w:hyperlink>
          <w:r>
            <w:rPr>
              <w:sz w:val="24"/>
              <w:szCs w:val="24"/>
            </w:rPr>
            <w:t>7</w:t>
          </w:r>
        </w:p>
        <w:p>
          <w:pPr>
            <w:pStyle w:val="TOC1"/>
            <w:tabs>
              <w:tab w:val="clear" w:pos="708"/>
              <w:tab w:val="right" w:pos="9825" w:leader="dot"/>
            </w:tabs>
            <w:rPr/>
          </w:pPr>
          <w:hyperlink w:anchor="__RefHeading___Toc2099_1456059687">
            <w:r>
              <w:rPr>
                <w:rStyle w:val="Style15"/>
                <w:sz w:val="24"/>
                <w:szCs w:val="24"/>
              </w:rPr>
              <w:t>5. Приложения</w:t>
              <w:tab/>
              <w:t>1</w:t>
            </w:r>
          </w:hyperlink>
          <w:r>
            <w:rPr>
              <w:sz w:val="24"/>
              <w:szCs w:val="24"/>
            </w:rPr>
            <w:t>7</w:t>
          </w:r>
          <w:r>
            <w:rPr>
              <w:sz w:val="24"/>
              <w:szCs w:val="24"/>
            </w:rPr>
            <w:fldChar w:fldCharType="end"/>
          </w:r>
        </w:p>
      </w:sdtContent>
    </w:sdt>
    <w:p>
      <w:pPr>
        <w:pStyle w:val="BodyText"/>
        <w:jc w:val="center"/>
        <w:rPr>
          <w:b/>
          <w:caps/>
          <w:sz w:val="24"/>
          <w:szCs w:val="24"/>
        </w:rPr>
      </w:pPr>
      <w:r>
        <w:br w:type="page"/>
      </w:r>
      <w:r>
        <w:rPr>
          <w:rFonts w:eastAsia="Calibri"/>
          <w:b/>
          <w:sz w:val="24"/>
          <w:szCs w:val="24"/>
        </w:rPr>
        <w:t>1.</w:t>
      </w:r>
      <w:r>
        <w:rPr>
          <w:rFonts w:eastAsia="Calibri"/>
          <w:b/>
          <w:i/>
          <w:sz w:val="24"/>
          <w:szCs w:val="24"/>
        </w:rPr>
        <w:t xml:space="preserve"> </w:t>
      </w:r>
      <w:bookmarkStart w:id="2" w:name="_Toc51339692"/>
      <w:bookmarkStart w:id="3" w:name="_Toc124516412"/>
      <w:r>
        <w:rPr>
          <w:b/>
          <w:sz w:val="24"/>
          <w:szCs w:val="24"/>
        </w:rPr>
        <w:t>Общие сведения</w:t>
      </w:r>
      <w:bookmarkEnd w:id="2"/>
      <w:bookmarkEnd w:id="3"/>
    </w:p>
    <w:p>
      <w:pPr>
        <w:pStyle w:val="Heading4"/>
        <w:numPr>
          <w:ilvl w:val="1"/>
          <w:numId w:val="3"/>
        </w:numPr>
        <w:ind w:left="567" w:hanging="567"/>
        <w:rPr/>
      </w:pPr>
      <w:bookmarkStart w:id="4" w:name="__RefHeading___Toc2067_1456059687"/>
      <w:bookmarkStart w:id="5" w:name="_Toc46743505"/>
      <w:bookmarkStart w:id="6" w:name="_Toc124516413"/>
      <w:bookmarkEnd w:id="4"/>
      <w:r>
        <w:rPr/>
        <w:t>Обозначения и сокращения</w:t>
      </w:r>
      <w:bookmarkEnd w:id="5"/>
      <w:bookmarkEnd w:id="6"/>
    </w:p>
    <w:p>
      <w:pPr>
        <w:pStyle w:val="Normal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tbl>
      <w:tblPr>
        <w:tblW w:w="1003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779"/>
        <w:gridCol w:w="8251"/>
      </w:tblGrid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ККГЭС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Филиала ПАО «РусГидро»-«Каскад Кубанских ГЭС»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Рабочее задание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КСБ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Комплексная система безопасности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ИТСЗ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Инженерно-технические средства физической защиты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оповещения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СОО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охранного освещения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СОС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охранной сигнализации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СКУД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контроля удаленного доступа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СОТ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охранного телевидения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СЭ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Система электропитания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КПП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Контрольно пропускной пункт</w:t>
            </w:r>
          </w:p>
        </w:tc>
      </w:tr>
      <w:tr>
        <w:trPr>
          <w:cantSplit w:val="true"/>
        </w:trPr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ПС</w:t>
            </w:r>
          </w:p>
        </w:tc>
        <w:tc>
          <w:tcPr>
            <w:tcW w:w="8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Подъемные сооружения</w:t>
            </w:r>
          </w:p>
        </w:tc>
      </w:tr>
    </w:tbl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ind w:left="567" w:hanging="567"/>
        <w:rPr/>
      </w:pPr>
      <w:bookmarkStart w:id="7" w:name="__RefHeading___Toc2069_1456059687"/>
      <w:bookmarkStart w:id="8" w:name="_Toc124516414"/>
      <w:bookmarkEnd w:id="7"/>
      <w:r>
        <w:rPr/>
        <w:t>Наименование закупаемой продукции</w:t>
      </w:r>
      <w:bookmarkEnd w:id="8"/>
    </w:p>
    <w:p>
      <w:pPr>
        <w:pStyle w:val="Normal"/>
        <w:widowControl w:val="false"/>
        <w:tabs>
          <w:tab w:val="clear" w:pos="708"/>
          <w:tab w:val="left" w:pos="426" w:leader="none"/>
        </w:tabs>
        <w:rPr/>
      </w:pPr>
      <w:r>
        <w:rPr>
          <w:i w:val="false"/>
          <w:iCs w:val="false"/>
          <w:sz w:val="24"/>
          <w:szCs w:val="24"/>
        </w:rPr>
        <w:t>ОКПД 2: 33.20.42.000 Выполнение работ по монтажу охранного телевидения на объектах филиала ПАО «РусГидро» - «Каскад Кубанских ГЭС» для нужд Кубанского филиала АО «Гидроремонт-ВКК».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i w:val="false"/>
          <w:i w:val="false"/>
          <w:iCs w:val="false"/>
          <w:sz w:val="24"/>
          <w:szCs w:val="24"/>
        </w:rPr>
      </w:pPr>
      <w:r>
        <w:rPr>
          <w:i w:val="false"/>
          <w:iCs w:val="false"/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9" w:name="__RefHeading___Toc2071_1456059687"/>
      <w:bookmarkEnd w:id="9"/>
      <w:r>
        <w:rPr>
          <w:lang w:val="ru-RU"/>
        </w:rPr>
        <w:t>Цель выполнение работ</w:t>
      </w:r>
      <w:r>
        <w:rPr/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/>
      </w:pPr>
      <w:r>
        <w:rPr>
          <w:b w:val="false"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val="ru-RU"/>
        </w:rPr>
        <w:t>Исполнение договора подряда № 1210-153-2024/3-ТпиР-БЕЗ-2024-ККГЭС от 07.06.2024г. «ОКПД2 26.30.50 Монтаж и наладка оборудования систем оперативной радиосвязи, оповещения, охранного телевидения, охранно-тревожной сигнализации, контроля и управления доступом, сбора и обработки информации объектов  в административном здании в г. Невинномысск, ГЭС-1, ГЭС-2, ГЭС-3, ГЭС-4,  Егорлыкской ГЭС, Егорлыкской ГЭС-2, Свистухинской ГЭС, монтаж ограждений площадки ОРУ-330  кВ и плотины выравнивающего водохранилища ГЭС-2,  плотины выравнивающего водохранилища ГЭС-3, плотины  Егорлыкского водохранилища заключенного между ПАО «РусГидро» - «Каскад Кубанских ГЭС» и Кубанским филиалом АО «Гидроремонт-ВКК».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color w:val="000000"/>
          <w:highlight w:val="none"/>
          <w:shd w:fill="auto" w:val="clear"/>
        </w:rPr>
      </w:pPr>
      <w:r>
        <w:rPr>
          <w:color w:val="000000"/>
          <w:shd w:fill="auto" w:val="clear"/>
        </w:rPr>
      </w:r>
    </w:p>
    <w:p>
      <w:pPr>
        <w:pStyle w:val="Heading4"/>
        <w:numPr>
          <w:ilvl w:val="1"/>
          <w:numId w:val="3"/>
        </w:numPr>
        <w:rPr>
          <w:color w:val="auto"/>
        </w:rPr>
      </w:pPr>
      <w:bookmarkStart w:id="10" w:name="__RefHeading___Toc2073_1456059687"/>
      <w:bookmarkEnd w:id="10"/>
      <w:r>
        <w:rPr>
          <w:color w:val="auto"/>
        </w:rPr>
        <w:t>Существу</w:t>
      </w:r>
      <w:r>
        <w:rPr>
          <w:color w:val="auto"/>
          <w:lang w:val="ru-RU"/>
        </w:rPr>
        <w:t>ющее положение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color w:val="auto"/>
        </w:rPr>
      </w:pPr>
      <w:r>
        <w:rPr>
          <w:bCs/>
          <w:color w:val="000000"/>
          <w:sz w:val="24"/>
          <w:szCs w:val="24"/>
          <w:shd w:fill="auto" w:val="clear"/>
          <w:lang w:eastAsia="x-none"/>
        </w:rPr>
        <w:t>«Строительная площадка» или «Стройплощадка» – предоставляется Субподрядчику по акту для выполнения работ.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spacing w:before="0" w:after="0"/>
        <w:contextualSpacing/>
        <w:rPr>
          <w:bCs/>
          <w:color w:val="auto"/>
          <w:sz w:val="24"/>
          <w:szCs w:val="24"/>
          <w:highlight w:val="none"/>
          <w:shd w:fill="auto" w:val="clear"/>
        </w:rPr>
      </w:pPr>
      <w:r>
        <w:rPr>
          <w:bCs/>
          <w:color w:val="000000"/>
          <w:sz w:val="24"/>
          <w:szCs w:val="24"/>
          <w:shd w:fill="auto" w:val="clear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Таблица 1. Перечень объектов заказчика</w:t>
      </w:r>
    </w:p>
    <w:tbl>
      <w:tblPr>
        <w:tblW w:w="103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75"/>
        <w:gridCol w:w="3293"/>
        <w:gridCol w:w="2887"/>
        <w:gridCol w:w="1924"/>
        <w:gridCol w:w="1559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  <w:t>(место производства работ)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ГЭС-1 (КК0003751)</w:t>
            </w:r>
          </w:p>
        </w:tc>
        <w:tc>
          <w:tcPr>
            <w:tcW w:w="2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Карачаево-Черкесская Республика, Прикубанский район, 61 км Большого Ставропольского канала</w:t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ГЭС-1 (КК0003751)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  <w:color w:val="C9211E"/>
                <w:sz w:val="24"/>
                <w:szCs w:val="24"/>
                <w:highlight w:val="none"/>
                <w:shd w:fill="auto" w:val="clear"/>
              </w:rPr>
            </w:pPr>
            <w:r>
              <w:rPr>
                <w:i/>
                <w:iCs/>
                <w:color w:val="C9211E"/>
                <w:sz w:val="24"/>
                <w:szCs w:val="24"/>
                <w:shd w:fill="auto" w:val="clear"/>
              </w:rPr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ГЭС-2 (КК0003752)</w:t>
            </w:r>
          </w:p>
        </w:tc>
        <w:tc>
          <w:tcPr>
            <w:tcW w:w="2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Карачаево-Черкесская Республика, Прикубанский район, пос. Ударный;</w:t>
            </w:r>
            <w:bookmarkStart w:id="11" w:name="_GoBack_Копия_2_Копия_1"/>
            <w:bookmarkEnd w:id="11"/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ГЭС-2 (КК0003752)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  <w:color w:val="C9211E"/>
                <w:sz w:val="24"/>
                <w:szCs w:val="24"/>
                <w:highlight w:val="none"/>
                <w:shd w:fill="auto" w:val="clear"/>
              </w:rPr>
            </w:pPr>
            <w:r>
              <w:rPr>
                <w:i/>
                <w:iCs/>
                <w:color w:val="C9211E"/>
                <w:sz w:val="24"/>
                <w:szCs w:val="24"/>
                <w:shd w:fill="auto" w:val="clear"/>
              </w:rPr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 -3 (КК0004069)</w:t>
            </w:r>
          </w:p>
        </w:tc>
        <w:tc>
          <w:tcPr>
            <w:tcW w:w="2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Ставропольский край, Андроповский район, поселок Каскадный;</w:t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 -3 (КК0004069)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  <w:color w:val="C9211E"/>
                <w:sz w:val="24"/>
                <w:szCs w:val="24"/>
              </w:rPr>
            </w:pPr>
            <w:r>
              <w:rPr>
                <w:i/>
                <w:iCs/>
                <w:color w:val="C9211E"/>
                <w:sz w:val="24"/>
                <w:szCs w:val="24"/>
              </w:rPr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bidi w:val="0"/>
              <w:spacing w:before="0" w:after="0"/>
              <w:ind w:left="340" w:right="0" w:hanging="340"/>
              <w:contextualSpacing/>
              <w:jc w:val="left"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 -4  (КК0004070)</w:t>
            </w:r>
          </w:p>
        </w:tc>
        <w:tc>
          <w:tcPr>
            <w:tcW w:w="2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Ставропольский край, Кочубеевский район, 7850 м по направлению на юго-запад от центральной части с. Дворцовское;</w:t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ГЭС -4  (КК0004070)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  <w:color w:val="C9211E"/>
                <w:sz w:val="24"/>
                <w:szCs w:val="24"/>
              </w:rPr>
            </w:pPr>
            <w:r>
              <w:rPr>
                <w:i/>
                <w:iCs/>
                <w:color w:val="C9211E"/>
                <w:sz w:val="24"/>
                <w:szCs w:val="24"/>
              </w:rPr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bidi w:val="0"/>
              <w:spacing w:before="0" w:after="0"/>
              <w:ind w:left="340" w:right="0" w:hanging="340"/>
              <w:contextualSpacing/>
              <w:jc w:val="left"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Егорлыкской ГЭС  (КК0003757)</w:t>
            </w:r>
          </w:p>
        </w:tc>
        <w:tc>
          <w:tcPr>
            <w:tcW w:w="2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Российская Федерация, Ставропольский край, Шпаковский район, село Сенгилеевское, ул. Энергетиков 2</w:t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Егорлыкской ГЭС  (КК0003757)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  <w:color w:val="C9211E"/>
                <w:sz w:val="24"/>
                <w:szCs w:val="24"/>
              </w:rPr>
            </w:pPr>
            <w:r>
              <w:rPr>
                <w:i/>
                <w:iCs/>
                <w:color w:val="C9211E"/>
                <w:sz w:val="24"/>
                <w:szCs w:val="24"/>
              </w:rPr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uppressAutoHyphens w:val="true"/>
              <w:bidi w:val="0"/>
              <w:spacing w:before="0" w:after="0"/>
              <w:ind w:left="340" w:right="0" w:hanging="340"/>
              <w:contextualSpacing/>
              <w:jc w:val="left"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Егорлыкской ГЭС-2  (КК0003867)</w:t>
            </w:r>
          </w:p>
        </w:tc>
        <w:tc>
          <w:tcPr>
            <w:tcW w:w="2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Российская Федерация,  Ставропольский край, Изобильненский район, пос. Левоегорлыкский</w:t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Егорлыкской ГЭС-2  (КК0003867)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  <w:color w:val="C9211E"/>
                <w:sz w:val="24"/>
                <w:szCs w:val="24"/>
              </w:rPr>
            </w:pPr>
            <w:r>
              <w:rPr>
                <w:i/>
                <w:iCs/>
                <w:color w:val="C9211E"/>
                <w:sz w:val="24"/>
                <w:szCs w:val="24"/>
              </w:rPr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Свистухинской ГЭС (КК0003755)</w:t>
            </w:r>
          </w:p>
        </w:tc>
        <w:tc>
          <w:tcPr>
            <w:tcW w:w="2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Ставропольский край, Кочубеевский район, 7125 м по направлению на юго-восток от центральной части станицы Барсуковская;</w:t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Свистухинской ГЭС (КК0003755)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  <w:color w:val="C9211E"/>
                <w:sz w:val="24"/>
                <w:szCs w:val="24"/>
              </w:rPr>
            </w:pPr>
            <w:r>
              <w:rPr>
                <w:i/>
                <w:iCs/>
                <w:color w:val="C9211E"/>
                <w:sz w:val="24"/>
                <w:szCs w:val="24"/>
              </w:rPr>
            </w:r>
          </w:p>
        </w:tc>
      </w:tr>
      <w:tr>
        <w:trPr>
          <w:trHeight w:val="881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7"/>
              </w:numPr>
              <w:spacing w:before="0" w:after="0"/>
              <w:contextualSpacing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здания ЛТК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Административного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здания (КК0004071)</w:t>
            </w:r>
          </w:p>
        </w:tc>
        <w:tc>
          <w:tcPr>
            <w:tcW w:w="28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widowControl w:val="false"/>
              <w:spacing w:before="0" w:after="120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Ставропольский край, Невинномысск, Водопроводная улица, 360А,</w:t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Оборудование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телевизионной системы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охранного наблюдения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здания ЛТК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Административного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здания (КК0004071)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  <w:color w:val="C9211E"/>
                <w:sz w:val="24"/>
                <w:szCs w:val="24"/>
              </w:rPr>
            </w:pPr>
            <w:r>
              <w:rPr>
                <w:i/>
                <w:iCs/>
                <w:color w:val="C9211E"/>
                <w:sz w:val="24"/>
                <w:szCs w:val="24"/>
              </w:rPr>
            </w:r>
          </w:p>
        </w:tc>
      </w:tr>
    </w:tbl>
    <w:p>
      <w:pPr>
        <w:pStyle w:val="Heading4"/>
        <w:tabs>
          <w:tab w:val="clear" w:pos="0"/>
          <w:tab w:val="left" w:pos="735" w:leader="none"/>
          <w:tab w:val="left" w:pos="960" w:leader="none"/>
        </w:tabs>
        <w:ind w:left="567" w:hanging="0"/>
        <w:rPr>
          <w:i/>
          <w:i/>
          <w:iCs/>
        </w:rPr>
      </w:pPr>
      <w:r>
        <w:rPr>
          <w:i/>
          <w:iCs/>
        </w:rPr>
      </w:r>
    </w:p>
    <w:p>
      <w:pPr>
        <w:pStyle w:val="Heading4"/>
        <w:numPr>
          <w:ilvl w:val="1"/>
          <w:numId w:val="3"/>
        </w:numPr>
        <w:tabs>
          <w:tab w:val="clear" w:pos="960"/>
          <w:tab w:val="left" w:pos="0" w:leader="none"/>
          <w:tab w:val="left" w:pos="450" w:leader="none"/>
          <w:tab w:val="left" w:pos="735" w:leader="none"/>
          <w:tab w:val="left" w:pos="930" w:leader="none"/>
        </w:tabs>
        <w:ind w:left="0" w:hanging="0"/>
        <w:rPr/>
      </w:pPr>
      <w:bookmarkStart w:id="12" w:name="__RefHeading___Toc2075_1456059687_Копия_"/>
      <w:bookmarkStart w:id="13" w:name="_Toc46743509_Копия_1"/>
      <w:bookmarkStart w:id="14" w:name="_Hlk49857604_Копия_1"/>
      <w:bookmarkEnd w:id="12"/>
      <w:r>
        <w:rPr/>
        <w:t xml:space="preserve">Информация в отношении исполнения договора, </w:t>
      </w:r>
      <w:bookmarkStart w:id="15" w:name="_Hlk46492347_Копия_1"/>
      <w:r>
        <w:rPr/>
        <w:t xml:space="preserve">которая должна быть учтена при подготовке заявки </w:t>
      </w:r>
      <w:bookmarkEnd w:id="15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</w:t>
      </w:r>
      <w:r>
        <w:rPr>
          <w:lang w:val="ru-RU"/>
        </w:rPr>
        <w:t xml:space="preserve"> </w:t>
      </w:r>
      <w:r>
        <w:rPr/>
        <w:t>этапе исполнения договора)</w:t>
      </w:r>
      <w:bookmarkEnd w:id="13"/>
      <w:bookmarkEnd w:id="14"/>
    </w:p>
    <w:p>
      <w:pPr>
        <w:pStyle w:val="Normal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Представление помещений:</w:t>
      </w:r>
    </w:p>
    <w:p>
      <w:pPr>
        <w:pStyle w:val="Normal"/>
        <w:jc w:val="both"/>
        <w:rPr/>
      </w:pPr>
      <w:r>
        <w:rPr>
          <w:sz w:val="24"/>
          <w:szCs w:val="24"/>
          <w:lang w:eastAsia="x-none"/>
        </w:rPr>
        <w:t>-1.5.1. Предоставление грузоподъемных механизмов.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1.5.2. Предоставление ресурсов: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Электроэнергия.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Вода.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Сжатый воздух.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Обеспечение санитарно-гигиенических и бытовых условий.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Содержание пожарной и сторожевой охраны.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Благоустройство и содержание строительных площадок.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1.5.3. Представление помещений:</w:t>
      </w:r>
    </w:p>
    <w:p>
      <w:pPr>
        <w:pStyle w:val="Normal"/>
        <w:tabs>
          <w:tab w:val="clear" w:pos="708"/>
          <w:tab w:val="left" w:pos="0" w:leader="none"/>
          <w:tab w:val="left" w:pos="450" w:leader="none"/>
          <w:tab w:val="left" w:pos="735" w:leader="none"/>
          <w:tab w:val="left" w:pos="93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Помещения / площадки для размещения персонала подрядчика.</w:t>
      </w:r>
    </w:p>
    <w:p>
      <w:pPr>
        <w:pStyle w:val="Normal"/>
        <w:jc w:val="both"/>
        <w:rPr/>
      </w:pPr>
      <w:r>
        <w:rPr>
          <w:sz w:val="24"/>
          <w:szCs w:val="24"/>
          <w:lang w:eastAsia="x-none"/>
        </w:rPr>
        <w:t xml:space="preserve">- Складские помещения и/или </w:t>
      </w:r>
      <w:r>
        <w:rPr>
          <w:bCs/>
          <w:sz w:val="24"/>
          <w:szCs w:val="24"/>
          <w:lang w:eastAsia="x-none"/>
        </w:rPr>
        <w:t>площадки для погрузки/разгрузки складирования/хранения материально-технических ресурсов, оборудования Подрядчика, а также давальческих материалов и запасных частей, оборудования Заказчика</w:t>
      </w:r>
      <w:r>
        <w:rPr>
          <w:sz w:val="24"/>
          <w:szCs w:val="24"/>
          <w:lang w:eastAsia="x-none"/>
        </w:rPr>
        <w:t>.</w:t>
      </w:r>
    </w:p>
    <w:p>
      <w:pPr>
        <w:pStyle w:val="Heading4"/>
        <w:tabs>
          <w:tab w:val="clear" w:pos="0"/>
          <w:tab w:val="left" w:pos="735" w:leader="none"/>
          <w:tab w:val="left" w:pos="960" w:leader="none"/>
        </w:tabs>
        <w:ind w:left="567" w:hanging="0"/>
        <w:rPr>
          <w:i/>
          <w:i/>
          <w:iCs/>
        </w:rPr>
      </w:pPr>
      <w:bookmarkStart w:id="16" w:name="_Toc54646398"/>
      <w:bookmarkStart w:id="17" w:name="_Toc46743507"/>
      <w:r>
        <w:rPr/>
        <w:t xml:space="preserve"> </w:t>
      </w:r>
      <w:bookmarkEnd w:id="16"/>
      <w:bookmarkEnd w:id="17"/>
    </w:p>
    <w:p>
      <w:pPr>
        <w:pStyle w:val="Heading1"/>
        <w:numPr>
          <w:ilvl w:val="0"/>
          <w:numId w:val="3"/>
        </w:numPr>
        <w:ind w:left="3175" w:hanging="0"/>
        <w:rPr>
          <w:caps/>
          <w:sz w:val="24"/>
          <w:szCs w:val="24"/>
          <w:lang w:val="ru-RU"/>
        </w:rPr>
      </w:pPr>
      <w:bookmarkStart w:id="18" w:name="__RefHeading___Toc2079_1456059687"/>
      <w:bookmarkStart w:id="19" w:name="_Toc51339693"/>
      <w:bookmarkStart w:id="20" w:name="_Toc124516416"/>
      <w:bookmarkStart w:id="21" w:name="_Toc50125126"/>
      <w:bookmarkEnd w:id="18"/>
      <w:bookmarkEnd w:id="21"/>
      <w:r>
        <w:rPr>
          <w:sz w:val="24"/>
          <w:szCs w:val="24"/>
        </w:rPr>
        <w:t>Требования к продукции</w:t>
      </w:r>
      <w:bookmarkEnd w:id="19"/>
      <w:bookmarkEnd w:id="20"/>
    </w:p>
    <w:p>
      <w:pPr>
        <w:pStyle w:val="Normal"/>
        <w:numPr>
          <w:ilvl w:val="0"/>
          <w:numId w:val="0"/>
        </w:numPr>
        <w:ind w:left="3175" w:hanging="0"/>
        <w:outlineLvl w:val="0"/>
        <w:rPr>
          <w:caps/>
          <w:sz w:val="24"/>
          <w:szCs w:val="24"/>
        </w:rPr>
      </w:pPr>
      <w:r>
        <w:rPr>
          <w:caps/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22" w:name="__RefHeading___Toc2081_1456059687"/>
      <w:bookmarkStart w:id="23" w:name="_Toc124516417"/>
      <w:bookmarkEnd w:id="22"/>
      <w:r>
        <w:rPr/>
        <w:t xml:space="preserve">Требования к объемам и срокам </w:t>
      </w:r>
      <w:r>
        <w:rPr>
          <w:lang w:val="ru-RU"/>
        </w:rPr>
        <w:t>выполнения рабо</w:t>
      </w:r>
      <w:bookmarkEnd w:id="23"/>
      <w:r>
        <w:rPr>
          <w:lang w:val="ru-RU"/>
        </w:rPr>
        <w:t>т</w:t>
      </w:r>
    </w:p>
    <w:p>
      <w:pPr>
        <w:pStyle w:val="Normal"/>
        <w:ind w:left="432" w:hanging="432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4" w:name="__RefHeading___Toc2083_1456059687"/>
      <w:bookmarkStart w:id="25" w:name="_Toc124516418"/>
      <w:bookmarkEnd w:id="24"/>
      <w:r>
        <w:rPr/>
        <w:t>Требования к видам и объемам работ</w:t>
      </w:r>
      <w:bookmarkEnd w:id="25"/>
    </w:p>
    <w:p>
      <w:pPr>
        <w:pStyle w:val="Normal"/>
        <w:ind w:left="1072" w:hanging="504"/>
        <w:rPr>
          <w:rFonts w:eastAsia="Calibri"/>
          <w:b/>
          <w:sz w:val="24"/>
          <w:szCs w:val="24"/>
          <w:lang w:val="x-none" w:eastAsia="x-none"/>
        </w:rPr>
      </w:pPr>
      <w:r>
        <w:rPr>
          <w:rFonts w:eastAsia="Calibri"/>
          <w:b/>
          <w:sz w:val="24"/>
          <w:szCs w:val="24"/>
          <w:lang w:val="x-none" w:eastAsia="x-none"/>
        </w:rPr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/>
      </w:pPr>
      <w:bookmarkStart w:id="26" w:name="__RefHeading___Toc2085_1456059687"/>
      <w:bookmarkStart w:id="27" w:name="_Toc124516419"/>
      <w:bookmarkStart w:id="28" w:name="_Toc51339695"/>
      <w:bookmarkEnd w:id="26"/>
      <w:r>
        <w:rPr>
          <w:sz w:val="24"/>
          <w:szCs w:val="24"/>
        </w:rPr>
        <w:t xml:space="preserve">Таблица 2. Перечень </w:t>
      </w:r>
      <w:bookmarkEnd w:id="28"/>
      <w:r>
        <w:rPr>
          <w:sz w:val="24"/>
          <w:szCs w:val="24"/>
        </w:rPr>
        <w:t>и объем выполняемых работ</w:t>
      </w:r>
      <w:bookmarkEnd w:id="27"/>
    </w:p>
    <w:tbl>
      <w:tblPr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996"/>
        <w:gridCol w:w="4843"/>
        <w:gridCol w:w="2039"/>
        <w:gridCol w:w="2073"/>
      </w:tblGrid>
      <w:tr>
        <w:trPr/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>
          <w:trHeight w:val="246" w:hRule="atLeast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телевизионной. Станционный узел ГЭС-1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Водоприемника ГЭС-1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2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ШР №2 ГЭС-1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3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телевизионной. Станционный узел ГЭС-2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4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Плотина выравнивающего водохранилища ГЭС-2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5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Шлюза-регулятора №3 ГЭС-2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6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Водоприемника ГЭС-2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7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ОРУ-330кВ ГЭС-2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8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Станционный узел ГЭС-3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9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плотины ГЭС-3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10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Водоприемника ГЭС-3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11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ШР №5 ГЭС-3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12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ШР №6 ГЭС-3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13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телевизионной. Станционный узел ГЭС-4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14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Водоприемника ГЭС-4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15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телевизионной. Станционный узел. Егорлыкская ГЭС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16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телевизионной. Плотина Егорлыкской ГЭС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17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Станционный узел. Егорлыкской ГЭС-2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18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Станционный узел. Свистухинская ГЭС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19 (Приложение №3 к настоящим Техническим требованиям)</w:t>
            </w:r>
          </w:p>
        </w:tc>
      </w:tr>
      <w:tr>
        <w:trPr>
          <w:trHeight w:val="11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r>
          </w:p>
        </w:tc>
        <w:tc>
          <w:tcPr>
            <w:tcW w:w="4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Административного здания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 соответствии с ведомостью объёмов работ № 20 (Приложение №3 к настоящим Техническим требованиям)</w:t>
            </w:r>
          </w:p>
        </w:tc>
      </w:tr>
    </w:tbl>
    <w:p>
      <w:pPr>
        <w:pStyle w:val="Heading3"/>
        <w:tabs>
          <w:tab w:val="clear" w:pos="0"/>
          <w:tab w:val="left" w:pos="735" w:leader="none"/>
          <w:tab w:val="left" w:pos="960" w:leader="none"/>
        </w:tabs>
        <w:ind w:left="1072" w:hanging="0"/>
        <w:rPr/>
      </w:pPr>
      <w:r>
        <w:rPr/>
      </w:r>
    </w:p>
    <w:p>
      <w:pPr>
        <w:pStyle w:val="Heading3"/>
        <w:numPr>
          <w:ilvl w:val="2"/>
          <w:numId w:val="3"/>
        </w:numPr>
        <w:rPr/>
      </w:pPr>
      <w:bookmarkStart w:id="29" w:name="__RefHeading___Toc2087_1456059687"/>
      <w:bookmarkStart w:id="30" w:name="_Toc124516420"/>
      <w:bookmarkStart w:id="31" w:name="_Toc51339696"/>
      <w:bookmarkEnd w:id="29"/>
      <w:r>
        <w:rPr/>
        <w:t xml:space="preserve">Требования </w:t>
      </w:r>
      <w:bookmarkEnd w:id="31"/>
      <w:r>
        <w:rPr/>
        <w:t>к срокам выполнения работ</w:t>
      </w:r>
      <w:bookmarkEnd w:id="30"/>
    </w:p>
    <w:p>
      <w:pPr>
        <w:pStyle w:val="Normal"/>
        <w:ind w:left="1072" w:hanging="504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  <w:lang w:val="ru-RU"/>
        </w:rPr>
      </w:pPr>
      <w:bookmarkStart w:id="32" w:name="__RefHeading___Toc2089_1456059687"/>
      <w:bookmarkStart w:id="33" w:name="_Toc124516421"/>
      <w:bookmarkStart w:id="34" w:name="_Toc50125127"/>
      <w:bookmarkStart w:id="35" w:name="_Toc51339697"/>
      <w:bookmarkStart w:id="36" w:name="_Toc50125126_Копия_1"/>
      <w:bookmarkEnd w:id="32"/>
      <w:bookmarkEnd w:id="3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7" w:name="_Hlk50465284"/>
      <w:r>
        <w:rPr>
          <w:sz w:val="24"/>
          <w:szCs w:val="24"/>
        </w:rPr>
        <w:t xml:space="preserve">Требования по срокам </w:t>
      </w:r>
      <w:bookmarkEnd w:id="34"/>
      <w:bookmarkEnd w:id="35"/>
      <w:bookmarkEnd w:id="37"/>
      <w:r>
        <w:rPr>
          <w:sz w:val="24"/>
          <w:szCs w:val="24"/>
          <w:lang w:val="ru-RU"/>
        </w:rPr>
        <w:t>выполнения работ</w:t>
      </w:r>
      <w:bookmarkEnd w:id="33"/>
    </w:p>
    <w:tbl>
      <w:tblPr>
        <w:tblW w:w="100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83"/>
        <w:gridCol w:w="4667"/>
        <w:gridCol w:w="1694"/>
        <w:gridCol w:w="2775"/>
      </w:tblGrid>
      <w:tr>
        <w:trPr/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работ*</w:t>
            </w:r>
          </w:p>
        </w:tc>
      </w:tr>
      <w:tr>
        <w:trPr/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bookmarkStart w:id="38" w:name="_Toc46743510"/>
            <w:r>
              <w:rPr>
                <w:b/>
                <w:sz w:val="24"/>
                <w:szCs w:val="24"/>
              </w:rPr>
              <w:t>4</w:t>
            </w:r>
            <w:bookmarkEnd w:id="38"/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телевизионной. Станционный узел ГЭС-1</w:t>
            </w:r>
          </w:p>
        </w:tc>
        <w:tc>
          <w:tcPr>
            <w:tcW w:w="16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31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31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31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31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15.10.2026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Водоприемника ГЭС-1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15.10.2026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ШР №2 ГЭС-1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15.10.2026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телевизионной. Станционный узел ГЭС-2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25.09.2026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Плотина выравнивающего водохранилища ГЭС-2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25.09.2026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Шлюза-регулятора №3 ГЭС-2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25.09.2026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Водоприемника ГЭС-2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25.09.2026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ОРУ-330кВ ГЭС-2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25.09.2026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Станционный узел ГЭС-3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auto" w:val="clear"/>
              </w:rPr>
            </w:r>
          </w:p>
          <w:p>
            <w:pPr>
              <w:pStyle w:val="Style31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auto" w:val="clear"/>
              </w:rPr>
            </w:r>
          </w:p>
          <w:p>
            <w:pPr>
              <w:pStyle w:val="Style31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auto" w:val="clear"/>
              </w:rPr>
            </w:r>
          </w:p>
          <w:p>
            <w:pPr>
              <w:pStyle w:val="Style31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auto" w:val="clear"/>
              </w:rPr>
            </w:r>
          </w:p>
          <w:p>
            <w:pPr>
              <w:pStyle w:val="Style31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auto" w:val="clear"/>
              </w:rPr>
            </w:r>
          </w:p>
          <w:p>
            <w:pPr>
              <w:pStyle w:val="Style31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auto" w:val="clear"/>
              </w:rPr>
            </w:r>
          </w:p>
          <w:p>
            <w:pPr>
              <w:pStyle w:val="Style31"/>
              <w:widowControl w:val="false"/>
              <w:spacing w:before="0" w:after="0"/>
              <w:ind w:left="0" w:right="0"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</w:rPr>
              <w:t>В течение 15 календарных дней с даты подписания договора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плотины ГЭС-3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FFFF00" w:val="clear"/>
              </w:rPr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Водоприемника ГЭС-3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FFFF00" w:val="clear"/>
              </w:rPr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ШР №5 ГЭС-3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FFFF00" w:val="clear"/>
              </w:rPr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ШР №6 ГЭС-3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FFFF00" w:val="clear"/>
              </w:rPr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телевизионной. Станционный узел ГЭС-4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FFFF00" w:val="clear"/>
              </w:rPr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Водоприемника ГЭС-4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hd w:fill="FFFF00" w:val="clear"/>
              </w:rPr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телевизионной. Станционный узел. Егорлыкская ГЭС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10.10.2026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телевизионной. Плотина Егорлыкской ГЭС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21.10.2026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Станционный узел. Егорлыкской ГЭС-2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21.10.2026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Станционный узел. Свистухинская ГЭС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21.10.2026</w:t>
            </w:r>
          </w:p>
        </w:tc>
      </w:tr>
      <w:tr>
        <w:trPr/>
        <w:tc>
          <w:tcPr>
            <w:tcW w:w="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7"/>
              <w:widowControl w:val="false"/>
              <w:jc w:val="left"/>
              <w:rPr>
                <w:color w:val="000000"/>
              </w:rPr>
            </w:pPr>
            <w:r>
              <w:rPr>
                <w:color w:val="000000"/>
                <w:sz w:val="24"/>
              </w:rPr>
              <w:t>Приобретение и монтаж оборудования системы охранной телевизионной Административного здания</w:t>
            </w:r>
          </w:p>
        </w:tc>
        <w:tc>
          <w:tcPr>
            <w:tcW w:w="169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15.11.2026</w:t>
            </w:r>
          </w:p>
        </w:tc>
      </w:tr>
      <w:tr>
        <w:trPr/>
        <w:tc>
          <w:tcPr>
            <w:tcW w:w="10019" w:type="dxa"/>
            <w:gridSpan w:val="4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 согласно календарного графика к договору подряда № 1210-153-2024/3-ТпиР-БЕЗ-2024-ККГЭС от 07.06.2024г.</w:t>
            </w:r>
          </w:p>
        </w:tc>
      </w:tr>
    </w:tbl>
    <w:p>
      <w:pPr>
        <w:sectPr>
          <w:headerReference w:type="default" r:id="rId2"/>
          <w:footerReference w:type="default" r:id="rId3"/>
          <w:type w:val="nextPage"/>
          <w:pgSz w:w="11906" w:h="16838"/>
          <w:pgMar w:left="1230" w:right="851" w:gutter="0" w:header="0" w:top="567" w:footer="0" w:bottom="567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39" w:name="__RefHeading___Toc2091_1456059687"/>
      <w:bookmarkStart w:id="40" w:name="_Toc51339698"/>
      <w:bookmarkStart w:id="41" w:name="_Toc124516422"/>
      <w:bookmarkEnd w:id="39"/>
      <w:r>
        <w:rPr/>
        <w:t xml:space="preserve">Требования к </w:t>
      </w:r>
      <w:r>
        <w:rPr>
          <w:lang w:val="ru-RU"/>
        </w:rPr>
        <w:t>качеству работ</w:t>
      </w:r>
      <w:bookmarkEnd w:id="41"/>
    </w:p>
    <w:p>
      <w:pPr>
        <w:pStyle w:val="Normal"/>
        <w:ind w:left="432" w:hanging="432"/>
        <w:rPr/>
      </w:pPr>
      <w:r>
        <w:rPr/>
      </w:r>
    </w:p>
    <w:p>
      <w:pPr>
        <w:pStyle w:val="Heading1"/>
        <w:tabs>
          <w:tab w:val="clear" w:pos="0"/>
          <w:tab w:val="left" w:pos="735" w:leader="none"/>
          <w:tab w:val="left" w:pos="960" w:leader="none"/>
        </w:tabs>
        <w:rPr>
          <w:sz w:val="24"/>
          <w:szCs w:val="24"/>
        </w:rPr>
      </w:pPr>
      <w:bookmarkStart w:id="42" w:name="__RefHeading___Toc2093_1456059687"/>
      <w:bookmarkStart w:id="43" w:name="_Toc124516423"/>
      <w:bookmarkEnd w:id="42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40"/>
      <w:r>
        <w:rPr>
          <w:sz w:val="24"/>
          <w:szCs w:val="24"/>
          <w:lang w:val="ru-RU"/>
        </w:rPr>
        <w:t>качеству работ</w:t>
      </w:r>
      <w:bookmarkEnd w:id="43"/>
      <w:r>
        <w:rPr>
          <w:sz w:val="24"/>
          <w:szCs w:val="24"/>
        </w:rPr>
        <w:t xml:space="preserve"> </w:t>
      </w:r>
    </w:p>
    <w:p>
      <w:pPr>
        <w:pStyle w:val="Normal"/>
        <w:rPr/>
      </w:pPr>
      <w:r>
        <w:rPr>
          <w:bCs/>
          <w:sz w:val="24"/>
          <w:szCs w:val="24"/>
        </w:rPr>
        <w:t>Наименование работ/этапа работ: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  <w:lang w:eastAsia="x-none"/>
        </w:rPr>
        <w:t>Позиция № 1-20 Таблицы 2. Перечень и объем выполняемых работ</w:t>
      </w:r>
    </w:p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tbl>
      <w:tblPr>
        <w:tblW w:w="15422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20"/>
        <w:gridCol w:w="1954"/>
        <w:gridCol w:w="7970"/>
        <w:gridCol w:w="2409"/>
        <w:gridCol w:w="2269"/>
      </w:tblGrid>
      <w:tr>
        <w:trPr>
          <w:trHeight w:val="276" w:hRule="atLeast"/>
        </w:trPr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7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9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указание характеристик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-120" w:leader="none"/>
                <w:tab w:val="left" w:pos="165" w:leader="none"/>
              </w:tabs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Cs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i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-//-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340" w:hanging="34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Соблюдение норм и правил нормативно-технических документов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08"/>
                <w:tab w:val="left" w:pos="1020" w:leader="none"/>
              </w:tabs>
              <w:ind w:left="0" w:hanging="0"/>
              <w:jc w:val="both"/>
              <w:rPr>
                <w:u w:val="single"/>
              </w:rPr>
            </w:pPr>
            <w:r>
              <w:rPr>
                <w:u w:val="single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Работы должны проводиться в строгом соответствии с Таблица 3.     Требования по срокам выполнения работ к техническим требованиям;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Приказ ПАО «РусГидро» от 28.04.2023 №300 «Об утверждении Регламента процесса “Допуск персонала подрядных организаций на объекты ПАО “РусГидро”» (Приложение № 2 к ТТ)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СТО РусГидро 02.01.62 – 2021 «Электрические станции и сети. Ремонт и техническое обслуживание оборудования, зданий и сооружений» (раздел 5, Приложение № 7 к ТТ);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ГОСТ 10180-2012</w:t>
            </w:r>
            <w:r>
              <w:rPr>
                <w:color w:val="2A6099"/>
              </w:rPr>
              <w:t xml:space="preserve"> </w:t>
            </w:r>
            <w:r>
              <w:rPr>
                <w:color w:val="000000"/>
              </w:rPr>
              <w:t>«Бетоны. Методы определения прочности по контрольным образцам»</w:t>
            </w:r>
            <w:r>
              <w:rPr/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Правил по охране труда при погрузочно-разгрузочных работах и размещении грузов»,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Соблюдать режим использования водоохранных зон, в соответствии с Водным кодексом РФ от 03.06.2006 г. № 74-ФЗ.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450" w:leader="none"/>
              </w:tabs>
              <w:ind w:left="170" w:hanging="0"/>
              <w:jc w:val="both"/>
              <w:rPr/>
            </w:pPr>
            <w:r>
              <w:rPr/>
              <w:t>Иметь квалификацию и опыт, соответствующие выполняемым работам. Инструктаж, обучение и проверка знаний по охране труда рабочих и инженерно - технических работников должны быть</w:t>
            </w:r>
            <w:r>
              <w:rPr>
                <w:i/>
                <w:iCs/>
              </w:rPr>
              <w:t xml:space="preserve"> </w:t>
            </w:r>
            <w:r>
              <w:rPr/>
              <w:t>организованы в соответствии - Постановлением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При работе на ГТС должен руководствоваться - СТО РусГидро 05.02.126-2020 Правила организации безопасного обслуживания, гидротехнических сооружений, гидросилового и гидромеханического оборудования гидроэлектростанций (раздел 5, Приложение №  6 к ТТ)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СП 48.13330.2019. Свод правил. Организация строительства. СНиП 12-01-2004" (утв. и введён в действие Приказом Минстроя России от 24.12.2019 N 861/пр);</w:t>
            </w:r>
          </w:p>
          <w:p>
            <w:pPr>
              <w:pStyle w:val="ListParagraph"/>
              <w:widowControl w:val="false"/>
              <w:numPr>
                <w:ilvl w:val="0"/>
                <w:numId w:val="28"/>
              </w:numPr>
              <w:tabs>
                <w:tab w:val="clear" w:pos="708"/>
                <w:tab w:val="left" w:pos="510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Проводимые работы по подъему и транспортировке людей с применением ПС должны в полной мере соответствовать требованиям пунктов 115, 137, 235-247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 (утверждены приказом Ростехнадзора №461 от 26.11.2020 г.).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740" w:leader="none"/>
              </w:tabs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Организационно-технические мероприятия по допуску персонала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>
                <w:u w:val="single"/>
              </w:rPr>
              <w:t>Допуск персонала Субподрядчика для выполнения работ должен осуществляться в соответствии с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tabs>
                <w:tab w:val="clear" w:pos="708"/>
                <w:tab w:val="left" w:pos="426" w:leader="none"/>
              </w:tabs>
              <w:ind w:left="113" w:hanging="0"/>
              <w:jc w:val="both"/>
              <w:rPr/>
            </w:pPr>
            <w:r>
              <w:rPr/>
              <w:t>Регламентом процесса Допуска персонала подрядных организаций на объекты ПАО “РусГидро” Приказ ПАО «РусГидро» от 28.04.2023 №300 (Приложение № 2 к ТТ), с обязательным оформлением необходимых нарядов-допусков.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570" w:leader="none"/>
              </w:tabs>
              <w:ind w:left="170" w:hanging="0"/>
              <w:jc w:val="both"/>
              <w:rPr/>
            </w:pPr>
            <w:r>
              <w:rPr/>
              <w:t>При проведении работ исполнитель работ должен иметь право работы по нарядам-допускам и быть ответственным за организацию безопасного проведения работ (выдающий наряд, руководитель работ, производитель работ, член бригады).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360" w:hanging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используемым материалам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  <w:shd w:fill="FFFF00" w:val="clear"/>
              </w:rPr>
            </w:pPr>
            <w:r>
              <w:rPr>
                <w:b/>
                <w:sz w:val="24"/>
                <w:szCs w:val="24"/>
                <w:shd w:fill="FFFF00" w:val="clear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 xml:space="preserve">Оборудования Генерального подрядчика, передаваемые  Субподрядчику для выполнения работ указаны в перечне передаваемого оборудования Приложение № 8 к настоящему Техническому заданию и передаются </w:t>
            </w:r>
            <w:r>
              <w:rPr>
                <w:color w:val="000000"/>
              </w:rPr>
              <w:t>по накладной на отпуск материалов на сторону формы М-15, утвержденной Постановлением Госкомстата России от 30.10.1997 №71А.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Материалы, необходимые для выполнения работ, приобретаются Субподрядчиком самостоятельно согласно Ведомостям объемов работ</w:t>
            </w:r>
            <w:r>
              <w:rPr>
                <w:sz w:val="24"/>
                <w:szCs w:val="24"/>
              </w:rPr>
              <w:t xml:space="preserve"> </w:t>
            </w:r>
            <w:r>
              <w:rPr/>
              <w:t xml:space="preserve"> к настоящему Техническому заданию (Приложения № 3)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В случае если в настоящих ТТ и/или приложениях к ним указаны конкретные производители, торговые марки, фирменные наименования, модели или источник происхождения материалов и продукции, Субподрядчик, определенный в соответствии с результатами закупочной процедуры, на этапе исполнения договора может предложить эквивалентные материалы.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Эквивалентные материалы – это материалы, которые по техническим и функциональным характеристикам не уступают характеристикам, заявленным в документации о закупке, в том числе, по гарантийным срокам и срокам эксплуатации.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При этом, Субподрядчик должен предоставить Генеральному подрядчику исчерпывающую информацию об эквивалентных материалах, а предлагаемые замены не должны оказывать влияние на безопасность объекта и обеспечивать выполнение требований проектной и рабочей документации и/или ведомости объемов работ.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В случае, если применение Субподрядчиком эквивалентных материалов будет согласовано Генеральным подрядчиком и потребует внесения изменений в проектную/рабочую документацию и/или ведомости объемов работ такие изменения также производятся за счет Субподрядчика.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  <w:tab w:val="left" w:pos="795" w:leader="none"/>
              </w:tabs>
              <w:ind w:left="113" w:hanging="0"/>
              <w:jc w:val="both"/>
              <w:rPr/>
            </w:pPr>
            <w:r>
              <w:rPr/>
              <w:t>При закупке материалов для выполнения работ по Договору Субподрядчику необходимо руководствоваться положениями Постановления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>Все поставляемые и применяемые запасные части и материалы должны быть новыми и не использованными ранее.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22" w:leader="none"/>
                <w:tab w:val="left" w:pos="570" w:leader="none"/>
              </w:tabs>
              <w:ind w:left="113" w:hanging="0"/>
              <w:jc w:val="both"/>
              <w:rPr/>
            </w:pPr>
            <w:r>
              <w:rPr/>
              <w:t>Материалы перед их применением должны пройти входной контроль представителя эксплуатирующей организации.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34" w:leader="none"/>
              </w:tabs>
              <w:ind w:left="113" w:hanging="0"/>
              <w:jc w:val="both"/>
              <w:rPr/>
            </w:pPr>
            <w:r>
              <w:rPr/>
              <w:t>На используемые материалы должны быть представлены сертификаты или паспорта качества (соответствия).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должен обеспечить входной контроль поступающих материалов, включающий в себя проверку: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285" w:leader="none"/>
              </w:tabs>
              <w:spacing w:before="0" w:after="0"/>
              <w:ind w:left="113" w:hanging="0"/>
              <w:contextualSpacing w:val="false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наличия соответствующих сертификатов в соответствии с требованиями постановления Правительства Российской Федерации от 23.12.2021 №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22" w:leader="none"/>
              </w:tabs>
              <w:spacing w:before="0" w:after="0"/>
              <w:ind w:left="113" w:hanging="0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и надлежащего заполнения документа о качестве и соответствии приведённых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22" w:leader="none"/>
              </w:tabs>
              <w:spacing w:before="0" w:after="0"/>
              <w:ind w:left="113" w:hanging="0"/>
              <w:contextualSpacing w:val="false"/>
              <w:jc w:val="both"/>
              <w:rPr/>
            </w:pPr>
            <w:r>
              <w:rPr>
                <w:rFonts w:eastAsia="Times New Roman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ind w:left="113" w:hanging="0"/>
              <w:jc w:val="both"/>
              <w:rPr>
                <w:color w:val="000000"/>
              </w:rPr>
            </w:pPr>
            <w:r>
              <w:rPr>
                <w:rFonts w:eastAsia="Times New Roman"/>
              </w:rPr>
              <w:t>комплектности поставляемых материалов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персоналу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  <w:u w:val="single"/>
              </w:rPr>
              <w:t>К выполнению работ должны быть привлечены</w:t>
            </w:r>
            <w:r>
              <w:rPr>
                <w:sz w:val="24"/>
                <w:szCs w:val="24"/>
              </w:rPr>
              <w:t>: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tabs>
                <w:tab w:val="clear" w:pos="708"/>
                <w:tab w:val="left" w:pos="426" w:leader="none"/>
              </w:tabs>
              <w:ind w:left="57" w:hanging="0"/>
              <w:rPr/>
            </w:pPr>
            <w:r>
              <w:rPr/>
              <w:t>квалифицированный рабочий персонал с группами по электробезопасности (не ниже 2 группы)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57" w:leader="none"/>
              </w:tabs>
              <w:ind w:left="57" w:hanging="0"/>
              <w:rPr/>
            </w:pPr>
            <w:r>
              <w:rPr>
                <w:rFonts w:eastAsia="Times New Roman"/>
              </w:rPr>
              <w:t>административно-технический персонал с указанием групп по электробезопасности (не ниже 3 группы)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165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Документальное подтверждение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/>
            </w:pPr>
            <w:r>
              <w:rPr>
                <w:sz w:val="24"/>
                <w:szCs w:val="24"/>
                <w:u w:val="single"/>
              </w:rPr>
              <w:t>Для подтверждения принадлежности данных лиц к Субподрядчику должны быть предоставлены: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персонала с указанием сведений о квалификации персонала, разряде и группе по электробезопасности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специальностей.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копии трудового договора или копии трудовых книжек или копии приказов о приёме на работу;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копию страниц паспорта;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справку об отсутствии судимости;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заполненную анкету (форма Приложение № 4 к настоящему техническому заданию);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согласие на обработку персональных и иных охраняемых законном данных (форма Приложение № 5 к настоящему техническому заданию);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копии удостоверений по ЭБ;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копии протоколов по ЭБ;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о прохождении медосмотра и психиатрического освидетельствования, заверенными руководителем организации или уполномоченным лицом.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426" w:leader="none"/>
              </w:tabs>
              <w:ind w:left="57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начала проведения работ в рамках исполнения договора после его заключения Субподрядчик должен предоставить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/>
            </w:pPr>
            <w:r>
              <w:rPr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при производстве работ должен соблюдать: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113" w:hanging="0"/>
              <w:jc w:val="both"/>
              <w:rPr/>
            </w:pPr>
            <w:r>
              <w:rPr/>
              <w:t>Постановление Правительства РФ от 24.12.2021 N 2464 "О порядке обучения по охране труда и проверки знания требований охраны труда"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84" w:leader="none"/>
              </w:tabs>
              <w:ind w:left="113" w:hanging="0"/>
              <w:jc w:val="both"/>
              <w:rPr/>
            </w:pPr>
            <w:r>
              <w:rPr/>
              <w:t xml:space="preserve">  </w:t>
            </w:r>
            <w:r>
              <w:rPr/>
              <w:t>Правил    по    охране    труда     при   эксплуатации  электроустановок, утверждённых приказом Министерство труда и социальной защиты РФ от 15.12.2020г. № 903н, зарегистрированных в Минюсте России 30.12.2020 N 61957;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434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строительстве, реконструкции и ремонте, утверждённых приказом Минтруда России от 11.12.2020 N 883н, зарегистрированных в Минюсте России 24.12.2020 N 61787;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9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СНиП 12-03-2001«Безопасность труда в строительстве» Часть 1.Общие требования, утвержденных Постановлением Госстроя РФ от 23.07.2001 N 80, зарегистрированных в Минюсте РФ 09.08.2001 N 2862;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34" w:leader="none"/>
                <w:tab w:val="left" w:pos="525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СНиП 12-04-2002  «Безопасность  труда  в  строительстве» Часть 2.  Строительное Производство, утвержденных Постановлением Госстроя России от 17.09.2002 N 123, зарегистрированных в Минюсте России 18.10.2002 N 3880;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СП 12-136-2002  «Решения по охране труда и промышленной    безопасности в ПНР и ПОС», утвержденных  Постановлением Госстроя РФ от 17.09.2002 N 122;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22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погрузочно-разгрузочных работах и размещении грузов»,  утверждённых приказом Минтруда России от 28.10.2020 г. № 753н, зарегистрированных в Минюсте России 15.12.2020 N 61471;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09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ГОСТ 12.3.009-76 «ССБТ. Работы погрузочно-разгрузочные. Общие требования       безопасности», утвержден Постановлением Госстандарта СССР от 23.03.1976 N 670;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90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Постановление Правительства РФ от 10.09.2020 N 1391 "Об утверждении Правил охраны поверхностных водных объектов";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ФЗ № 7 от 10.01.2002 г «Об охране окружающей среды»;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противопожарного режима в Российской Федерации, утверждённых постановлением Правительства РФ от 16.09.2020 N 1479;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45.13330.2017. Свод правил. Земляные сооружения, основания и фундаменты. Актуализированная редакция СНиП 3.02.01-87" (утв. и введен в действие Приказом Минстроя России от 27.02.2017 N 125/пр) (ред. От 20.11.2019);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17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Приказ Минстроя России от 27.07.2017 N 1033/пр "Об утверждении СП 68.13330.2017 "СНиП 3.01.04-87 Приемка в эксплуатацию законченных строительством объектов. Основные положения";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/>
            </w:pPr>
            <w:r>
              <w:rPr/>
              <w:t>Приказ Минстроя Российской Федерации от 02.12.2022 № 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72" w:leader="none"/>
              </w:tabs>
              <w:ind w:left="113" w:hanging="0"/>
              <w:jc w:val="both"/>
              <w:rPr/>
            </w:pPr>
            <w:r>
              <w:rPr/>
              <w:t xml:space="preserve"> </w:t>
            </w:r>
            <w:r>
              <w:rPr/>
              <w:t>Правил по охране труда при работе с инструментом и приспособлениями, утверждённых Приказом Минтруда России от 27.11.2020 г. № 835н, зарегистрированных в Минюсте России 11.12.2020 N 61411;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345" w:leader="none"/>
                <w:tab w:val="left" w:pos="660" w:leader="none"/>
              </w:tabs>
              <w:ind w:left="113" w:hanging="0"/>
              <w:jc w:val="both"/>
              <w:rPr/>
            </w:pPr>
            <w:r>
              <w:rPr/>
              <w:t>Заводскими инструкциями.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0"/>
              </w:numPr>
              <w:ind w:left="360" w:hanging="36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Результатом выполнения работ должно быть работоспособное техническое состояние объекта в соответствии с пожарными, инженерными, санитарно-гигиеническими и строительными нормативами. Объем выполняемых работ должен соответствовать Приложению № 3 настоящих ТТ.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1032" w:leader="none"/>
              </w:tabs>
              <w:ind w:left="360" w:hanging="360"/>
              <w:jc w:val="both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По результатам выполнения работ должен быть достигнут ввод объекта из ремонта в эксплуатацию.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1007" w:leader="none"/>
              </w:tabs>
              <w:ind w:left="360" w:hanging="36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Перед передачей результатов работ Субподрядчик обязан передать Генеральному подрядчику «Отчёт о выполненных работах»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447" w:hRule="atLeast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1032" w:leader="none"/>
              </w:tabs>
              <w:ind w:left="360" w:hanging="36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Документы, передаваемые Генеральному подрядчику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u w:val="single"/>
              </w:rPr>
              <w:t>Субподрядчик по результатам выполненных работ обязан</w:t>
            </w:r>
            <w:r>
              <w:rPr>
                <w:sz w:val="24"/>
                <w:szCs w:val="24"/>
              </w:rPr>
              <w:t xml:space="preserve"> одновременно с передачей актов приёмки выполненных работ по форме КС-2 передать Генеральному подрядчику «Отчёт о выполненных работах»,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комиссионные акты входного контроля закупаемых Субподрядчиком материалов на соответствие продукции требованиям технической документации;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сертификаты, паспорта, подтверждающие качество и соответствие требованиям нормативно-технической документации материалов (форма завода-изготовителя);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протоколы испытаний;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акты приёмки скрытых работ;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left="113" w:hanging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исполнительные схемы на земляные и берегоукрепительные работы;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45" w:leader="none"/>
              </w:tabs>
              <w:ind w:left="113" w:hanging="0"/>
              <w:rPr>
                <w:rFonts w:eastAsia="Times New Roman"/>
              </w:rPr>
            </w:pPr>
            <w:r>
              <w:rPr>
                <w:rFonts w:eastAsia="Times New Roman"/>
              </w:rPr>
              <w:t>справку о фактических трудозатратах при выполнении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443" w:leader="none"/>
              </w:tabs>
              <w:ind w:left="0" w:hanging="0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443" w:leader="none"/>
              </w:tabs>
              <w:ind w:left="0" w:hanging="0"/>
              <w:rPr/>
            </w:pPr>
            <w:r>
              <w:rPr/>
              <w:t>3.1</w:t>
            </w:r>
          </w:p>
        </w:tc>
        <w:tc>
          <w:tcPr>
            <w:tcW w:w="99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285" w:leader="none"/>
              </w:tabs>
              <w:ind w:left="113" w:hanging="0"/>
              <w:rPr/>
            </w:pPr>
            <w:r>
              <w:rPr>
                <w:sz w:val="24"/>
                <w:szCs w:val="24"/>
              </w:rPr>
              <w:t>Свод правил СП 71.13330.2017 "Изоляционные и отделочные покрытия" Актуализированная редакция СНиП 3.04.01-87 (утв. приказом Министерства строительства и жилищно-коммунального хозяйства РФ от 27 февраля 2017 г. N 128/пр);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285" w:leader="none"/>
              </w:tabs>
              <w:ind w:left="113" w:hanging="0"/>
              <w:rPr/>
            </w:pPr>
            <w:r>
              <w:rPr>
                <w:sz w:val="24"/>
                <w:szCs w:val="24"/>
              </w:rPr>
              <w:t>Свод правил СП 17.13330.2017 СНиП II-26-76 Кровли;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285" w:leader="none"/>
              </w:tabs>
              <w:ind w:left="113" w:hanging="0"/>
              <w:rPr/>
            </w:pPr>
            <w:r>
              <w:rPr>
                <w:sz w:val="24"/>
                <w:szCs w:val="24"/>
              </w:rPr>
              <w:t>Свод правил  СП 30.13330.2020 Внутренний водопровод и канализация зданий.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/>
                <w:sz w:val="24"/>
                <w:szCs w:val="24"/>
              </w:rPr>
              <w:t>Требования к ответственности и гарантиям субподрядчика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720" w:hanging="720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Гарантийный срок по результатам выполненных работ должен составлять не менее 36 месяцев с момента подписания Акта о приёмке выполненных работ КС-2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субподрядчику (и субсубподрядчикам) и его обязательствам, влияющим на исполнение договора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4"/>
              </w:numPr>
              <w:ind w:left="0" w:hanging="0"/>
              <w:jc w:val="center"/>
              <w:rPr/>
            </w:pPr>
            <w:r>
              <w:rPr/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Требования к Субсубподрядным организациям</w:t>
            </w:r>
          </w:p>
        </w:tc>
        <w:tc>
          <w:tcPr>
            <w:tcW w:w="7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В случае привлечения к выполнению работ Субсубподрядных организаций Субподрядчик обязан представить генеральному подрядчику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240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9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sectPr>
          <w:headerReference w:type="default" r:id="rId4"/>
          <w:headerReference w:type="first" r:id="rId5"/>
          <w:footerReference w:type="default" r:id="rId6"/>
          <w:footerReference w:type="first" r:id="rId7"/>
          <w:type w:val="nextPage"/>
          <w:pgSz w:orient="landscape" w:w="16838" w:h="11906"/>
          <w:pgMar w:left="1134" w:right="851" w:gutter="0" w:header="680" w:top="851" w:footer="737" w:bottom="851"/>
          <w:pgNumType w:fmt="decimal"/>
          <w:formProt w:val="false"/>
          <w:textDirection w:val="lrTb"/>
          <w:docGrid w:type="default" w:linePitch="381" w:charSpace="0"/>
        </w:sectPr>
      </w:pPr>
    </w:p>
    <w:p>
      <w:pPr>
        <w:pStyle w:val="Normal"/>
        <w:keepNext w:val="true"/>
        <w:numPr>
          <w:ilvl w:val="0"/>
          <w:numId w:val="3"/>
        </w:numPr>
        <w:tabs>
          <w:tab w:val="clear" w:pos="708"/>
          <w:tab w:val="left" w:pos="567" w:leader="none"/>
        </w:tabs>
        <w:ind w:left="1560" w:hanging="1560"/>
        <w:outlineLvl w:val="0"/>
        <w:rPr>
          <w:rFonts w:eastAsia="Calibri"/>
          <w:b/>
          <w:sz w:val="24"/>
          <w:szCs w:val="24"/>
          <w:lang w:val="x-none" w:eastAsia="x-none"/>
        </w:rPr>
      </w:pPr>
      <w:bookmarkStart w:id="44" w:name="__RefHeading___Toc2095_1456059687"/>
      <w:bookmarkStart w:id="45" w:name="_Ref40301253"/>
      <w:bookmarkStart w:id="46" w:name="_Toc124516424"/>
      <w:bookmarkStart w:id="47" w:name="_Toc53393312"/>
      <w:bookmarkEnd w:id="44"/>
      <w:r>
        <w:rPr>
          <w:rFonts w:eastAsia="Calibri"/>
          <w:b/>
          <w:sz w:val="24"/>
          <w:szCs w:val="24"/>
          <w:lang w:val="x-none" w:eastAsia="x-none"/>
        </w:rPr>
        <w:t>Требования к документации по ценообразованию</w:t>
      </w:r>
      <w:bookmarkEnd w:id="47"/>
      <w:r>
        <w:rPr>
          <w:rFonts w:eastAsia="Calibri"/>
          <w:b/>
          <w:sz w:val="24"/>
          <w:szCs w:val="24"/>
          <w:lang w:val="x-none" w:eastAsia="x-none"/>
        </w:rPr>
        <w:t xml:space="preserve"> на этапе закупки</w:t>
      </w:r>
      <w:bookmarkEnd w:id="46"/>
    </w:p>
    <w:p>
      <w:pPr>
        <w:pStyle w:val="Normal"/>
        <w:jc w:val="both"/>
        <w:rPr>
          <w:b/>
          <w:sz w:val="24"/>
          <w:szCs w:val="24"/>
        </w:rPr>
      </w:pPr>
      <w:bookmarkStart w:id="48" w:name="_Toc124516425"/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 (с указанием понижающего коэффициента).</w:t>
      </w:r>
      <w:bookmarkEnd w:id="48"/>
    </w:p>
    <w:p>
      <w:pPr>
        <w:pStyle w:val="Normal"/>
        <w:jc w:val="both"/>
        <w:rPr>
          <w:b/>
          <w:sz w:val="24"/>
          <w:szCs w:val="24"/>
        </w:rPr>
      </w:pPr>
      <w:bookmarkStart w:id="49" w:name="_Toc124516426"/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  <w:bookmarkEnd w:id="49"/>
    </w:p>
    <w:p>
      <w:pPr>
        <w:pStyle w:val="Normal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</w:r>
    </w:p>
    <w:p>
      <w:pPr>
        <w:pStyle w:val="Heading1"/>
        <w:numPr>
          <w:ilvl w:val="0"/>
          <w:numId w:val="3"/>
        </w:numPr>
        <w:ind w:left="567" w:hanging="567"/>
        <w:rPr>
          <w:sz w:val="24"/>
          <w:szCs w:val="24"/>
        </w:rPr>
      </w:pPr>
      <w:bookmarkStart w:id="50" w:name="__RefHeading___Toc2097_1456059687"/>
      <w:bookmarkStart w:id="51" w:name="_Toc124516427"/>
      <w:bookmarkEnd w:id="50"/>
      <w:r>
        <w:rPr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51"/>
    </w:p>
    <w:p>
      <w:pPr>
        <w:pStyle w:val="Normal"/>
        <w:jc w:val="both"/>
        <w:rPr>
          <w:sz w:val="24"/>
          <w:szCs w:val="24"/>
        </w:rPr>
      </w:pPr>
      <w:bookmarkStart w:id="52" w:name="_Toc124516429"/>
      <w:r>
        <w:rPr>
          <w:sz w:val="24"/>
          <w:szCs w:val="24"/>
        </w:rPr>
        <w:t xml:space="preserve">Сметную документацию составлять и оформлять в соответствии с требованиями к документации по ценообразованию (Приложение №1 к настоящим техническим требованиям) </w:t>
      </w:r>
      <w:bookmarkEnd w:id="52"/>
    </w:p>
    <w:p>
      <w:pPr>
        <w:pStyle w:val="Normal"/>
        <w:jc w:val="both"/>
        <w:rPr>
          <w:sz w:val="24"/>
          <w:szCs w:val="24"/>
        </w:rPr>
      </w:pPr>
      <w:r>
        <w:rPr>
          <w:rFonts w:ascii="Times              New Roman;Times;serif" w:hAnsi="Times              New Roman;Times;serif"/>
          <w:sz w:val="24"/>
          <w:szCs w:val="24"/>
        </w:rPr>
        <w:t xml:space="preserve">4.1. По результатам настоящей закупки заключается договор с предельной ценой, путем применения к начальной (максимальной) цене договора </w:t>
      </w:r>
      <w:r>
        <w:rPr>
          <w:rFonts w:ascii="Times              New Roman;Times;serif" w:hAnsi="Times              New Roman;Times;serif"/>
          <w:b w:val="false"/>
          <w:bCs w:val="false"/>
          <w:sz w:val="24"/>
          <w:szCs w:val="24"/>
        </w:rPr>
        <w:t>понижающего</w:t>
      </w:r>
      <w:r>
        <w:rPr>
          <w:rFonts w:ascii="Times              New Roman;Times;serif" w:hAnsi="Times              New Roman;Times;serif"/>
          <w:sz w:val="24"/>
          <w:szCs w:val="24"/>
        </w:rPr>
        <w:t xml:space="preserve"> коэффициента, указанного в заявке Участника, с которым принято решение заключить договор.</w:t>
      </w:r>
    </w:p>
    <w:p>
      <w:pPr>
        <w:pStyle w:val="BodyText"/>
        <w:spacing w:before="0" w:after="0"/>
        <w:jc w:val="both"/>
        <w:rPr>
          <w:rFonts w:ascii="Times              New Roman;Times;serif" w:hAnsi="Times              New Roman;Times;serif"/>
          <w:sz w:val="24"/>
        </w:rPr>
      </w:pPr>
      <w:r>
        <w:rPr>
          <w:rFonts w:ascii="Times              New Roman;Times;serif" w:hAnsi="Times              New Roman;Times;serif"/>
          <w:sz w:val="24"/>
        </w:rPr>
        <w:t>4.2 В рамках исполнения договора взаиморасчеты будут осуществляться по смете, выданной Заказчиком в производство работ, составленной в соответствии с требованиями, указанными в приложении № 3 к настоящему Техническому заданию, с учетом понижающего коэффициента по результатам закупки.</w:t>
      </w:r>
    </w:p>
    <w:p>
      <w:pPr>
        <w:pStyle w:val="BodyText"/>
        <w:spacing w:before="0" w:after="0"/>
        <w:jc w:val="both"/>
        <w:rPr>
          <w:rFonts w:ascii="Times              New Roman;Times;serif" w:hAnsi="Times              New Roman;Times;serif"/>
          <w:sz w:val="24"/>
        </w:rPr>
      </w:pPr>
      <w:r>
        <w:rPr>
          <w:rFonts w:ascii="Times              New Roman;Times;serif" w:hAnsi="Times              New Roman;Times;serif"/>
          <w:sz w:val="24"/>
        </w:rPr>
        <w:t>4.3 Указанный коэффициент начисляется в каждой локальной смете к итогу.</w:t>
      </w:r>
    </w:p>
    <w:p>
      <w:pPr>
        <w:pStyle w:val="BodyText"/>
        <w:spacing w:before="0" w:after="0"/>
        <w:jc w:val="both"/>
        <w:rPr>
          <w:rFonts w:ascii="Times              New Roman;Times;serif" w:hAnsi="Times              New Roman;Times;serif"/>
          <w:sz w:val="24"/>
        </w:rPr>
      </w:pPr>
      <w:r>
        <w:rPr>
          <w:rFonts w:ascii="Times              New Roman;Times;serif" w:hAnsi="Times              New Roman;Times;serif"/>
          <w:sz w:val="24"/>
        </w:rPr>
        <w:t xml:space="preserve">4.4. В сметной документации </w:t>
      </w:r>
      <w:r>
        <w:rPr>
          <w:rFonts w:ascii="Times              New Roman;Times;serif" w:hAnsi="Times              New Roman;Times;serif"/>
          <w:sz w:val="24"/>
          <w:szCs w:val="24"/>
        </w:rPr>
        <w:t xml:space="preserve"> предусмотреть включение затрат на непредвиденные расходы в размере 3%. Непредвиденные работы и затраты оплачиваются за фактически выполненные работы. Объем работ, выполняемый Субподрядчиком, должен быть предварительно согласован с Заказчиком и выполняться на основании утвержденных Заказчиком локальных сметных расчетов, в рамках лимита на непредвиденные работы и затраты, предусмотренного утвержденным Сводным сметным расчетом.</w:t>
      </w:r>
    </w:p>
    <w:p>
      <w:pPr>
        <w:pStyle w:val="BodyText"/>
        <w:spacing w:before="0" w:after="0"/>
        <w:jc w:val="both"/>
        <w:rPr>
          <w:rFonts w:ascii="Times              New Roman;serif" w:hAnsi="Times              New Roman;serif"/>
          <w:sz w:val="24"/>
        </w:rPr>
      </w:pPr>
      <w:r>
        <w:rPr>
          <w:rFonts w:ascii="Times New Roman;Times;serif" w:hAnsi="Times New Roman;Times;serif"/>
          <w:sz w:val="24"/>
        </w:rPr>
        <w:t>4.5 В случае, если стоимость по смете, выданной в производство</w:t>
      </w:r>
      <w:r>
        <w:rPr>
          <w:rFonts w:ascii="Times              New Roman;serif" w:hAnsi="Times              New Roman;serif"/>
          <w:sz w:val="24"/>
        </w:rPr>
        <w:t xml:space="preserve">  </w:t>
      </w:r>
      <w:r>
        <w:rPr>
          <w:rFonts w:ascii="Times New                Roman;Times;serif" w:hAnsi="Times New                Roman;Times;serif"/>
          <w:sz w:val="24"/>
        </w:rPr>
        <w:t>работ, будет превышать предельную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>
      <w:pPr>
        <w:pStyle w:val="BodyText"/>
        <w:spacing w:before="0" w:after="0"/>
        <w:jc w:val="both"/>
        <w:rPr>
          <w:rFonts w:ascii="Times              New Roman;serif" w:hAnsi="Times              New Roman;serif"/>
          <w:sz w:val="24"/>
        </w:rPr>
      </w:pPr>
      <w:r>
        <w:rPr>
          <w:rFonts w:ascii="Times New Roman;Times;serif" w:hAnsi="Times New Roman;Times;serif"/>
          <w:sz w:val="24"/>
        </w:rPr>
        <w:t>4.6. В случае, если стоимость по смете, выданной в производство</w:t>
      </w:r>
      <w:r>
        <w:rPr>
          <w:rFonts w:ascii="Times              New Roman;serif" w:hAnsi="Times              New Roman;serif"/>
          <w:sz w:val="24"/>
        </w:rPr>
        <w:t xml:space="preserve">  </w:t>
      </w:r>
      <w:r>
        <w:rPr>
          <w:rFonts w:ascii="Times New                Roman;Times;serif" w:hAnsi="Times New                Roman;Times;serif"/>
          <w:sz w:val="24"/>
        </w:rPr>
        <w:t>работ,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</w:t>
      </w:r>
      <w:r>
        <w:rPr>
          <w:rFonts w:ascii="Times              New Roman;serif" w:hAnsi="Times              New Roman;serif"/>
          <w:sz w:val="24"/>
        </w:rPr>
        <w:t>, с учетом понижающего коэффициента по результатам закупки.</w:t>
      </w:r>
    </w:p>
    <w:p>
      <w:pPr>
        <w:pStyle w:val="BodyText"/>
        <w:spacing w:before="0" w:after="0"/>
        <w:jc w:val="both"/>
        <w:rPr>
          <w:rFonts w:ascii="Times              New Roman;Times;serif" w:hAnsi="Times              New Roman;Times;serif"/>
          <w:sz w:val="24"/>
        </w:rPr>
      </w:pPr>
      <w:r>
        <w:rPr>
          <w:rFonts w:ascii="Times              New Roman;Times;serif" w:hAnsi="Times              New Roman;Times;serif"/>
          <w:sz w:val="24"/>
        </w:rPr>
        <w:t>4.7. Требования к составлению сметной документации (на этапе исполнения договора):</w:t>
      </w:r>
    </w:p>
    <w:p>
      <w:pPr>
        <w:pStyle w:val="Normal"/>
        <w:jc w:val="both"/>
        <w:rPr>
          <w:sz w:val="24"/>
          <w:szCs w:val="24"/>
        </w:rPr>
      </w:pPr>
      <w:r>
        <w:rPr>
          <w:b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4.7.1.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№3 к настоящему Техническому заданию.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3"/>
        </w:numPr>
        <w:ind w:left="567" w:hanging="567"/>
        <w:rPr>
          <w:sz w:val="24"/>
          <w:szCs w:val="24"/>
        </w:rPr>
      </w:pPr>
      <w:bookmarkStart w:id="53" w:name="__RefHeading___Toc2099_1456059687"/>
      <w:bookmarkEnd w:id="53"/>
      <w:r>
        <w:rPr>
          <w:sz w:val="24"/>
          <w:szCs w:val="24"/>
        </w:rPr>
        <w:t>Приложения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1:</w:t>
      </w:r>
      <w:r>
        <w:rPr>
          <w:bCs/>
          <w:iCs/>
          <w:sz w:val="24"/>
          <w:szCs w:val="24"/>
        </w:rPr>
        <w:t xml:space="preserve"> </w:t>
      </w:r>
      <w:bookmarkStart w:id="54" w:name="_Hlk87545766"/>
      <w:r>
        <w:rPr>
          <w:bCs/>
          <w:iCs/>
          <w:sz w:val="24"/>
          <w:szCs w:val="24"/>
        </w:rPr>
        <w:t>Требования к оформлению и составлению документации по ценообразованию</w:t>
      </w:r>
      <w:bookmarkEnd w:id="54"/>
      <w:r>
        <w:rPr>
          <w:bCs/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2:</w:t>
      </w:r>
      <w:r>
        <w:rPr>
          <w:bCs/>
          <w:iCs/>
          <w:sz w:val="24"/>
          <w:szCs w:val="24"/>
        </w:rPr>
        <w:t xml:space="preserve"> Регламент процесса Допуска персонала подрядных организаций на объекты ПАО “РусГидро” Приказ ПАО «РусГидро» от 28.04.2023 № 300.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rFonts w:eastAsia="Calibri"/>
          <w:i/>
          <w:i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3:</w:t>
      </w:r>
      <w:r>
        <w:rPr>
          <w:iCs/>
          <w:sz w:val="24"/>
          <w:szCs w:val="24"/>
        </w:rPr>
        <w:t xml:space="preserve"> </w:t>
      </w:r>
      <w:r>
        <w:rPr>
          <w:rFonts w:eastAsia="Calibri"/>
          <w:i w:val="false"/>
          <w:iCs w:val="false"/>
          <w:sz w:val="24"/>
          <w:szCs w:val="24"/>
        </w:rPr>
        <w:t>Ведомости объемов работ 1-20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i w:val="false"/>
          <w:i w:val="false"/>
          <w:iCs w:val="false"/>
        </w:rPr>
      </w:pPr>
      <w:r>
        <w:rPr>
          <w:b/>
          <w:bCs/>
          <w:i w:val="false"/>
          <w:iCs w:val="false"/>
          <w:sz w:val="24"/>
          <w:szCs w:val="24"/>
        </w:rPr>
        <w:t>Приложение № 4</w:t>
      </w:r>
      <w:r>
        <w:rPr>
          <w:bCs/>
          <w:i w:val="false"/>
          <w:iCs w:val="false"/>
          <w:sz w:val="24"/>
          <w:szCs w:val="24"/>
        </w:rPr>
        <w:t>: Анкета;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5</w:t>
      </w:r>
      <w:r>
        <w:rPr>
          <w:bCs/>
          <w:iCs/>
          <w:sz w:val="24"/>
          <w:szCs w:val="24"/>
        </w:rPr>
        <w:t>: Согласие на обработку персональных и иных охраняемых законом данных;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6</w:t>
      </w:r>
      <w:r>
        <w:rPr>
          <w:bCs/>
          <w:iCs/>
          <w:sz w:val="24"/>
          <w:szCs w:val="24"/>
        </w:rPr>
        <w:t xml:space="preserve">: </w:t>
      </w:r>
      <w:r>
        <w:rPr>
          <w:sz w:val="24"/>
          <w:szCs w:val="24"/>
        </w:rPr>
        <w:t>СТО РусГидро 05.02.126-2020</w:t>
      </w:r>
      <w:r>
        <w:rPr>
          <w:i/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– (отдельным приложением – файлом);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Приложение № 7</w:t>
      </w:r>
      <w:r>
        <w:rPr>
          <w:bCs/>
          <w:iCs/>
          <w:sz w:val="24"/>
          <w:szCs w:val="24"/>
        </w:rPr>
        <w:t xml:space="preserve">: </w:t>
      </w:r>
      <w:r>
        <w:rPr>
          <w:iCs/>
          <w:sz w:val="24"/>
          <w:szCs w:val="24"/>
        </w:rPr>
        <w:t>СТО РусГидро 02.01.62 – 2021– (отдельным приложением – файлом)</w:t>
      </w:r>
      <w:bookmarkEnd w:id="45"/>
      <w:r>
        <w:rPr>
          <w:iCs/>
          <w:sz w:val="24"/>
          <w:szCs w:val="24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>Приложение № 8:</w:t>
      </w:r>
      <w:r>
        <w:rPr>
          <w:sz w:val="24"/>
          <w:szCs w:val="24"/>
        </w:rPr>
        <w:t xml:space="preserve"> Перечень передаваемого Оборудования.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bCs/>
          <w:i/>
          <w:i/>
          <w:iCs/>
          <w:sz w:val="24"/>
          <w:szCs w:val="24"/>
          <w:shd w:fill="FFFF00" w:val="clear"/>
        </w:rPr>
      </w:pPr>
      <w:r>
        <w:rPr/>
      </w:r>
      <w:bookmarkStart w:id="55" w:name="_GoBack"/>
      <w:bookmarkStart w:id="56" w:name="_GoBack"/>
      <w:bookmarkEnd w:id="56"/>
    </w:p>
    <w:sectPr>
      <w:headerReference w:type="default" r:id="rId8"/>
      <w:headerReference w:type="first" r:id="rId9"/>
      <w:footerReference w:type="default" r:id="rId10"/>
      <w:footerReference w:type="first" r:id="rId11"/>
      <w:type w:val="nextPage"/>
      <w:pgSz w:w="11906" w:h="16838"/>
      <w:pgMar w:left="1134" w:right="851" w:gutter="0" w:header="680" w:top="1134" w:footer="737" w:bottom="992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Times              New Roman">
    <w:altName w:val="Times"/>
    <w:charset w:val="01"/>
    <w:family w:val="roman"/>
    <w:pitch w:val="variable"/>
  </w:font>
  <w:font w:name="Times New Roman">
    <w:altName w:val="Times"/>
    <w:charset w:val="01"/>
    <w:family w:val="roman"/>
    <w:pitch w:val="variable"/>
  </w:font>
  <w:font w:name="Times              New Roman">
    <w:altName w:val="serif"/>
    <w:charset w:val="01"/>
    <w:family w:val="roman"/>
    <w:pitch w:val="variable"/>
  </w:font>
  <w:font w:name="Times New                Roman">
    <w:altName w:val="Times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16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18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022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2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1.2.%3"/>
      <w:lvlJc w:val="left"/>
      <w:pPr>
        <w:tabs>
          <w:tab w:val="num" w:pos="0"/>
        </w:tabs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  <w:i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4460"/>
        </w:tabs>
        <w:ind w:left="51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decimal"/>
      <w:lvlText w:val="4.%1"/>
      <w:lvlJc w:val="left"/>
      <w:pPr>
        <w:tabs>
          <w:tab w:val="num" w:pos="0"/>
        </w:tabs>
        <w:ind w:left="100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9" w:hanging="18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decimal"/>
      <w:lvlText w:val="1.%1.1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1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1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1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1.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1.6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2.1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decimal"/>
      <w:lvlText w:val="2.2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2.3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decimal"/>
      <w:lvlText w:val="2.4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decimal"/>
      <w:lvlText w:val="5.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97" w:hanging="360"/>
      </w:pPr>
      <w:rPr>
        <w:rFonts w:ascii="Wingdings" w:hAnsi="Wingdings" w:cs="Wingdings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tabs>
        <w:tab w:val="clear" w:pos="708"/>
        <w:tab w:val="left" w:pos="0" w:leader="none"/>
        <w:tab w:val="left" w:pos="735" w:leader="none"/>
        <w:tab w:val="left" w:pos="960" w:leader="none"/>
      </w:tabs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4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2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Нижний колонтитул Знак"/>
    <w:basedOn w:val="DefaultParagraphFont"/>
    <w:qFormat/>
    <w:rPr>
      <w:sz w:val="28"/>
      <w:szCs w:val="28"/>
    </w:rPr>
  </w:style>
  <w:style w:type="character" w:styleId="Style15" w:customStyle="1">
    <w:name w:val="Ссылка указателя"/>
    <w:qFormat/>
    <w:rPr/>
  </w:style>
  <w:style w:type="character" w:styleId="Style16" w:customStyle="1">
    <w:name w:val="Маркеры"/>
    <w:qFormat/>
    <w:rPr>
      <w:rFonts w:ascii="Times New Roman" w:hAnsi="Times New Roman" w:eastAsia="OpenSymbol" w:cs="OpenSymbol"/>
      <w:sz w:val="28"/>
      <w:szCs w:val="28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Style20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21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autoRedefine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23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4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Style25" w:customStyle="1">
    <w:name w:val="Раздел регламента"/>
    <w:basedOn w:val="Normal"/>
    <w:qFormat/>
    <w:pPr/>
    <w:rPr/>
  </w:style>
  <w:style w:type="paragraph" w:styleId="Style26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6" w:customStyle="1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left="196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left="84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pPr>
      <w:tabs>
        <w:tab w:val="clear" w:pos="708"/>
        <w:tab w:val="left" w:pos="567" w:leader="none"/>
        <w:tab w:val="right" w:pos="9911" w:leader="dot"/>
      </w:tabs>
    </w:pPr>
    <w:rPr>
      <w:rFonts w:cs="Calibr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111" w:customStyle="1">
    <w:name w:val="caption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2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1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2" w:customStyle="1">
    <w:name w:val="Подподпункт"/>
    <w:basedOn w:val="Style24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3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clear" w:pos="735"/>
        <w:tab w:val="clear" w:pos="96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5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left="112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left="140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left="1680" w:hanging="0"/>
    </w:pPr>
    <w:rPr>
      <w:rFonts w:ascii="Calibri" w:hAnsi="Calibri" w:cs="Calibri"/>
      <w:sz w:val="20"/>
      <w:szCs w:val="20"/>
    </w:rPr>
  </w:style>
  <w:style w:type="paragraph" w:styleId="Toaheading">
    <w:name w:val="toa heading"/>
    <w:basedOn w:val="Normal"/>
    <w:next w:val="Normal"/>
    <w:qFormat/>
    <w:pPr>
      <w:spacing w:before="120" w:after="0"/>
    </w:pPr>
    <w:rPr>
      <w:rFonts w:ascii="Calibri Light" w:hAnsi="Calibri Light"/>
      <w:b/>
      <w:bCs/>
      <w:sz w:val="24"/>
      <w:szCs w:val="24"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Style37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paragraph" w:styleId="Style39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qFormat/>
  </w:style>
  <w:style w:type="numbering" w:styleId="29" w:customStyle="1">
    <w:name w:val="Стиль2"/>
    <w:qFormat/>
  </w:style>
  <w:style w:type="numbering" w:styleId="19494784021" w:customStyle="1">
    <w:name w:val="19494784021"/>
    <w:qFormat/>
  </w:style>
  <w:style w:type="numbering" w:styleId="883559781" w:customStyle="1">
    <w:name w:val="883559781"/>
    <w:qFormat/>
  </w:style>
  <w:style w:type="numbering" w:styleId="7841281351">
    <w:name w:val="7841281351"/>
    <w:qFormat/>
  </w:style>
  <w:style w:type="numbering" w:styleId="14496264261">
    <w:name w:val="14496264261"/>
    <w:qFormat/>
  </w:style>
  <w:style w:type="numbering" w:styleId="5757784851">
    <w:name w:val="575778485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19894</TotalTime>
  <Application>AlterOffice/2025.3.1.0$Linux_X86_64 LibreOffice_project/6648c49ab2ca125dff246c75ec00a85a64baa8dd</Application>
  <AppVersion>15.0000</AppVersion>
  <Pages>18</Pages>
  <Words>3765</Words>
  <Characters>26535</Characters>
  <CharactersWithSpaces>29849</CharactersWithSpaces>
  <Paragraphs>478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2024-02-12T10:02:00Z</dcterms:created>
  <dc:creator>Быстров Олег Геннадьевич</dc:creator>
  <dc:description/>
  <dc:language>ru-RU</dc:language>
  <cp:lastModifiedBy/>
  <cp:lastPrinted>2026-05-07T11:25:05Z</cp:lastPrinted>
  <dcterms:modified xsi:type="dcterms:W3CDTF">2026-05-12T09:31:26Z</dcterms:modified>
  <cp:revision>118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